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C6D" w:rsidRPr="0062060E" w:rsidRDefault="00040C6D" w:rsidP="00040C6D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Century Gothic" w:eastAsia="Times New Roman" w:hAnsi="Century Gothic"/>
          <w:b/>
          <w:spacing w:val="-3"/>
          <w:szCs w:val="24"/>
          <w:lang w:val="es-MX" w:eastAsia="es-ES"/>
        </w:rPr>
      </w:pPr>
      <w:r w:rsidRPr="0062060E">
        <w:rPr>
          <w:noProof/>
          <w:szCs w:val="24"/>
          <w:lang w:eastAsia="es-CO"/>
        </w:rPr>
        <w:drawing>
          <wp:anchor distT="0" distB="0" distL="114300" distR="114300" simplePos="0" relativeHeight="251659264" behindDoc="0" locked="0" layoutInCell="1" allowOverlap="1" wp14:anchorId="3E47979B" wp14:editId="5B8FF524">
            <wp:simplePos x="0" y="0"/>
            <wp:positionH relativeFrom="margin">
              <wp:posOffset>-114300</wp:posOffset>
            </wp:positionH>
            <wp:positionV relativeFrom="paragraph">
              <wp:posOffset>163195</wp:posOffset>
            </wp:positionV>
            <wp:extent cx="2438400" cy="638175"/>
            <wp:effectExtent l="0" t="0" r="0" b="952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C6D" w:rsidRPr="0062060E" w:rsidRDefault="00040C6D" w:rsidP="00040C6D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Century Gothic" w:eastAsia="Times New Roman" w:hAnsi="Century Gothic"/>
          <w:spacing w:val="-3"/>
          <w:szCs w:val="24"/>
          <w:lang w:val="es-ES" w:eastAsia="es-ES"/>
        </w:rPr>
      </w:pPr>
      <w:r w:rsidRPr="0062060E">
        <w:rPr>
          <w:rFonts w:ascii="Century Gothic" w:eastAsia="Times New Roman" w:hAnsi="Century Gothic"/>
          <w:b/>
          <w:spacing w:val="-3"/>
          <w:szCs w:val="24"/>
          <w:lang w:val="es-MX" w:eastAsia="es-ES"/>
        </w:rPr>
        <w:t>JUZGADO SESENTA Y CUATRO (64) ADMINISTRATIVO DE ORALIDAD DEL CIRCUITO JUDICIAL DE BOGOTÁ - SECCIÓN TERCERA</w:t>
      </w:r>
    </w:p>
    <w:p w:rsidR="00040C6D" w:rsidRPr="0062060E" w:rsidRDefault="00040C6D" w:rsidP="00040C6D">
      <w:pPr>
        <w:widowControl w:val="0"/>
        <w:spacing w:after="0"/>
        <w:rPr>
          <w:rFonts w:ascii="Century Gothic" w:eastAsia="Times New Roman" w:hAnsi="Century Gothic"/>
          <w:color w:val="FF0000"/>
          <w:szCs w:val="24"/>
          <w:lang w:val="es-ES_tradnl" w:eastAsia="es-ES"/>
        </w:rPr>
      </w:pPr>
    </w:p>
    <w:p w:rsidR="00040C6D" w:rsidRPr="0062060E" w:rsidRDefault="00040C6D" w:rsidP="00040C6D">
      <w:pPr>
        <w:tabs>
          <w:tab w:val="left" w:pos="2505"/>
        </w:tabs>
        <w:rPr>
          <w:rFonts w:ascii="Century Gothic" w:hAnsi="Century Gothic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83"/>
        <w:gridCol w:w="6352"/>
      </w:tblGrid>
      <w:tr w:rsidR="00040C6D" w:rsidRPr="0062060E" w:rsidTr="00227D69">
        <w:trPr>
          <w:trHeight w:val="314"/>
        </w:trPr>
        <w:tc>
          <w:tcPr>
            <w:tcW w:w="2197" w:type="dxa"/>
          </w:tcPr>
          <w:p w:rsidR="00040C6D" w:rsidRPr="0062060E" w:rsidRDefault="00040C6D" w:rsidP="00227D69">
            <w:pPr>
              <w:tabs>
                <w:tab w:val="left" w:pos="-720"/>
              </w:tabs>
              <w:suppressAutoHyphens/>
              <w:spacing w:after="0"/>
              <w:rPr>
                <w:rFonts w:ascii="Century Gothic" w:hAnsi="Century Gothic"/>
                <w:b/>
                <w:spacing w:val="-3"/>
                <w:szCs w:val="24"/>
              </w:rPr>
            </w:pPr>
            <w:r w:rsidRPr="0062060E">
              <w:rPr>
                <w:rFonts w:ascii="Century Gothic" w:hAnsi="Century Gothic"/>
                <w:b/>
                <w:spacing w:val="-3"/>
                <w:szCs w:val="24"/>
              </w:rPr>
              <w:t>JUEZ</w:t>
            </w:r>
          </w:p>
        </w:tc>
        <w:tc>
          <w:tcPr>
            <w:tcW w:w="283" w:type="dxa"/>
          </w:tcPr>
          <w:p w:rsidR="00040C6D" w:rsidRPr="0062060E" w:rsidRDefault="00040C6D" w:rsidP="00227D69">
            <w:pPr>
              <w:tabs>
                <w:tab w:val="left" w:pos="-720"/>
              </w:tabs>
              <w:suppressAutoHyphens/>
              <w:spacing w:after="0"/>
              <w:jc w:val="both"/>
              <w:rPr>
                <w:rFonts w:ascii="Century Gothic" w:hAnsi="Century Gothic"/>
                <w:b/>
                <w:spacing w:val="-3"/>
                <w:szCs w:val="24"/>
              </w:rPr>
            </w:pPr>
            <w:r w:rsidRPr="0062060E">
              <w:rPr>
                <w:rFonts w:ascii="Century Gothic" w:hAnsi="Century Gothic"/>
                <w:b/>
                <w:spacing w:val="-3"/>
                <w:szCs w:val="24"/>
              </w:rPr>
              <w:t>:</w:t>
            </w:r>
          </w:p>
        </w:tc>
        <w:tc>
          <w:tcPr>
            <w:tcW w:w="6379" w:type="dxa"/>
          </w:tcPr>
          <w:p w:rsidR="00040C6D" w:rsidRPr="0062060E" w:rsidRDefault="00040C6D" w:rsidP="00227D69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Century Gothic" w:hAnsi="Century Gothic"/>
                <w:b/>
                <w:spacing w:val="-3"/>
                <w:szCs w:val="24"/>
              </w:rPr>
            </w:pPr>
            <w:r w:rsidRPr="0062060E">
              <w:rPr>
                <w:rFonts w:ascii="Century Gothic" w:hAnsi="Century Gothic"/>
                <w:b/>
                <w:spacing w:val="-3"/>
                <w:szCs w:val="24"/>
              </w:rPr>
              <w:t xml:space="preserve">Álvaro Carreño Velandia </w:t>
            </w:r>
          </w:p>
        </w:tc>
      </w:tr>
      <w:tr w:rsidR="00040C6D" w:rsidRPr="0062060E" w:rsidTr="00227D69">
        <w:trPr>
          <w:trHeight w:val="477"/>
        </w:trPr>
        <w:tc>
          <w:tcPr>
            <w:tcW w:w="2197" w:type="dxa"/>
          </w:tcPr>
          <w:p w:rsidR="00040C6D" w:rsidRPr="0062060E" w:rsidRDefault="00040C6D" w:rsidP="00227D69">
            <w:pPr>
              <w:tabs>
                <w:tab w:val="left" w:pos="-720"/>
              </w:tabs>
              <w:suppressAutoHyphens/>
              <w:spacing w:after="0"/>
              <w:rPr>
                <w:rFonts w:ascii="Century Gothic" w:hAnsi="Century Gothic"/>
                <w:b/>
                <w:spacing w:val="-3"/>
                <w:szCs w:val="24"/>
              </w:rPr>
            </w:pPr>
            <w:r w:rsidRPr="0062060E">
              <w:rPr>
                <w:rFonts w:ascii="Century Gothic" w:hAnsi="Century Gothic"/>
                <w:b/>
                <w:spacing w:val="-3"/>
                <w:szCs w:val="24"/>
              </w:rPr>
              <w:t>Ref. Expediente</w:t>
            </w:r>
          </w:p>
        </w:tc>
        <w:tc>
          <w:tcPr>
            <w:tcW w:w="283" w:type="dxa"/>
          </w:tcPr>
          <w:p w:rsidR="00040C6D" w:rsidRPr="0062060E" w:rsidRDefault="00040C6D" w:rsidP="00227D69">
            <w:pPr>
              <w:tabs>
                <w:tab w:val="left" w:pos="-720"/>
              </w:tabs>
              <w:suppressAutoHyphens/>
              <w:spacing w:after="0"/>
              <w:jc w:val="both"/>
              <w:rPr>
                <w:rFonts w:ascii="Century Gothic" w:hAnsi="Century Gothic"/>
                <w:b/>
                <w:spacing w:val="-3"/>
                <w:szCs w:val="24"/>
              </w:rPr>
            </w:pPr>
            <w:r w:rsidRPr="0062060E">
              <w:rPr>
                <w:rFonts w:ascii="Century Gothic" w:hAnsi="Century Gothic"/>
                <w:b/>
                <w:spacing w:val="-3"/>
                <w:szCs w:val="24"/>
              </w:rPr>
              <w:t>:</w:t>
            </w:r>
          </w:p>
        </w:tc>
        <w:tc>
          <w:tcPr>
            <w:tcW w:w="6379" w:type="dxa"/>
          </w:tcPr>
          <w:p w:rsidR="00040C6D" w:rsidRPr="0062060E" w:rsidRDefault="00040C6D" w:rsidP="0005494D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Century Gothic" w:hAnsi="Century Gothic"/>
                <w:b/>
                <w:spacing w:val="-3"/>
                <w:szCs w:val="24"/>
              </w:rPr>
            </w:pPr>
            <w:r w:rsidRPr="0062060E">
              <w:rPr>
                <w:rFonts w:ascii="Century Gothic" w:hAnsi="Century Gothic"/>
                <w:spacing w:val="-3"/>
                <w:szCs w:val="24"/>
              </w:rPr>
              <w:t>1100133360</w:t>
            </w:r>
            <w:r w:rsidR="0005494D">
              <w:rPr>
                <w:rFonts w:ascii="Century Gothic" w:hAnsi="Century Gothic"/>
                <w:spacing w:val="-3"/>
                <w:szCs w:val="24"/>
              </w:rPr>
              <w:t>64</w:t>
            </w:r>
            <w:r w:rsidRPr="0062060E">
              <w:rPr>
                <w:rFonts w:ascii="Century Gothic" w:hAnsi="Century Gothic"/>
                <w:spacing w:val="-3"/>
                <w:szCs w:val="24"/>
              </w:rPr>
              <w:t>-</w:t>
            </w:r>
            <w:r>
              <w:rPr>
                <w:rFonts w:ascii="Century Gothic" w:hAnsi="Century Gothic"/>
                <w:b/>
                <w:spacing w:val="-3"/>
                <w:szCs w:val="24"/>
              </w:rPr>
              <w:t>2020-00077-00</w:t>
            </w:r>
          </w:p>
        </w:tc>
      </w:tr>
      <w:tr w:rsidR="00040C6D" w:rsidRPr="0062060E" w:rsidTr="00227D69">
        <w:trPr>
          <w:trHeight w:val="477"/>
        </w:trPr>
        <w:tc>
          <w:tcPr>
            <w:tcW w:w="2197" w:type="dxa"/>
          </w:tcPr>
          <w:p w:rsidR="00040C6D" w:rsidRPr="0062060E" w:rsidRDefault="00040C6D" w:rsidP="00227D69">
            <w:pPr>
              <w:tabs>
                <w:tab w:val="left" w:pos="-720"/>
              </w:tabs>
              <w:suppressAutoHyphens/>
              <w:spacing w:after="0"/>
              <w:rPr>
                <w:rFonts w:ascii="Century Gothic" w:hAnsi="Century Gothic"/>
                <w:b/>
                <w:spacing w:val="-3"/>
                <w:szCs w:val="24"/>
              </w:rPr>
            </w:pPr>
            <w:r w:rsidRPr="0062060E">
              <w:rPr>
                <w:rFonts w:ascii="Century Gothic" w:hAnsi="Century Gothic"/>
                <w:b/>
                <w:spacing w:val="-3"/>
                <w:szCs w:val="24"/>
              </w:rPr>
              <w:t>Demandantes</w:t>
            </w:r>
          </w:p>
        </w:tc>
        <w:tc>
          <w:tcPr>
            <w:tcW w:w="283" w:type="dxa"/>
          </w:tcPr>
          <w:p w:rsidR="00040C6D" w:rsidRPr="0062060E" w:rsidRDefault="00040C6D" w:rsidP="00227D69">
            <w:pPr>
              <w:tabs>
                <w:tab w:val="left" w:pos="-720"/>
              </w:tabs>
              <w:suppressAutoHyphens/>
              <w:spacing w:after="0"/>
              <w:jc w:val="both"/>
              <w:rPr>
                <w:rFonts w:ascii="Century Gothic" w:hAnsi="Century Gothic"/>
                <w:b/>
                <w:spacing w:val="-3"/>
                <w:szCs w:val="24"/>
              </w:rPr>
            </w:pPr>
            <w:r w:rsidRPr="0062060E">
              <w:rPr>
                <w:rFonts w:ascii="Century Gothic" w:hAnsi="Century Gothic"/>
                <w:b/>
                <w:spacing w:val="-3"/>
                <w:szCs w:val="24"/>
              </w:rPr>
              <w:t>:</w:t>
            </w:r>
          </w:p>
        </w:tc>
        <w:tc>
          <w:tcPr>
            <w:tcW w:w="6379" w:type="dxa"/>
          </w:tcPr>
          <w:p w:rsidR="00040C6D" w:rsidRPr="0062060E" w:rsidRDefault="00040C6D" w:rsidP="00227D69">
            <w:pPr>
              <w:pStyle w:val="Sinespaciado"/>
              <w:rPr>
                <w:rFonts w:ascii="Century Gothic" w:hAnsi="Century Gothic"/>
                <w:b/>
                <w:sz w:val="22"/>
              </w:rPr>
            </w:pPr>
            <w:r>
              <w:rPr>
                <w:rFonts w:ascii="Century Gothic" w:hAnsi="Century Gothic"/>
                <w:b/>
                <w:sz w:val="22"/>
              </w:rPr>
              <w:t>Natalia Garzón Poveda</w:t>
            </w:r>
          </w:p>
        </w:tc>
      </w:tr>
      <w:tr w:rsidR="00040C6D" w:rsidRPr="0062060E" w:rsidTr="00227D69">
        <w:trPr>
          <w:trHeight w:val="557"/>
        </w:trPr>
        <w:tc>
          <w:tcPr>
            <w:tcW w:w="2197" w:type="dxa"/>
          </w:tcPr>
          <w:p w:rsidR="00040C6D" w:rsidRPr="0062060E" w:rsidRDefault="00040C6D" w:rsidP="00227D69">
            <w:pPr>
              <w:tabs>
                <w:tab w:val="left" w:pos="-720"/>
              </w:tabs>
              <w:suppressAutoHyphens/>
              <w:spacing w:after="0"/>
              <w:rPr>
                <w:rFonts w:ascii="Century Gothic" w:hAnsi="Century Gothic"/>
                <w:b/>
                <w:spacing w:val="-3"/>
                <w:szCs w:val="24"/>
              </w:rPr>
            </w:pPr>
            <w:r w:rsidRPr="0062060E">
              <w:rPr>
                <w:rFonts w:ascii="Century Gothic" w:hAnsi="Century Gothic"/>
                <w:b/>
                <w:spacing w:val="-3"/>
                <w:szCs w:val="24"/>
              </w:rPr>
              <w:t>Demandado</w:t>
            </w:r>
          </w:p>
        </w:tc>
        <w:tc>
          <w:tcPr>
            <w:tcW w:w="283" w:type="dxa"/>
          </w:tcPr>
          <w:p w:rsidR="00040C6D" w:rsidRPr="0062060E" w:rsidRDefault="00040C6D" w:rsidP="00227D69">
            <w:pPr>
              <w:tabs>
                <w:tab w:val="left" w:pos="-720"/>
              </w:tabs>
              <w:suppressAutoHyphens/>
              <w:spacing w:after="0"/>
              <w:jc w:val="both"/>
              <w:rPr>
                <w:rFonts w:ascii="Century Gothic" w:hAnsi="Century Gothic"/>
                <w:b/>
                <w:spacing w:val="-3"/>
                <w:szCs w:val="24"/>
              </w:rPr>
            </w:pPr>
            <w:r w:rsidRPr="0062060E">
              <w:rPr>
                <w:rFonts w:ascii="Century Gothic" w:hAnsi="Century Gothic"/>
                <w:b/>
                <w:spacing w:val="-3"/>
                <w:szCs w:val="24"/>
              </w:rPr>
              <w:t xml:space="preserve">: </w:t>
            </w:r>
          </w:p>
        </w:tc>
        <w:tc>
          <w:tcPr>
            <w:tcW w:w="6379" w:type="dxa"/>
          </w:tcPr>
          <w:p w:rsidR="00040C6D" w:rsidRPr="0067641B" w:rsidRDefault="00040C6D" w:rsidP="00227D69">
            <w:pPr>
              <w:pStyle w:val="NormalWeb"/>
              <w:jc w:val="both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NACIÓN</w:t>
            </w:r>
            <w:r w:rsidRPr="0067641B">
              <w:rPr>
                <w:rFonts w:ascii="Century Gothic" w:hAnsi="Century Gothic"/>
                <w:b/>
                <w:bCs/>
              </w:rPr>
              <w:t xml:space="preserve"> – MINISTERIO DE RELACIONES EXTERIORES DE COLOMBIA – EMBAJADA DE LA REPÚBLICA DE COLOMBIA EN AUSTRALIA – MIGRACIÓN COLOMBIA </w:t>
            </w:r>
          </w:p>
        </w:tc>
      </w:tr>
    </w:tbl>
    <w:p w:rsidR="00040C6D" w:rsidRPr="0062060E" w:rsidRDefault="00040C6D" w:rsidP="00040C6D">
      <w:pPr>
        <w:pStyle w:val="Textosinformato"/>
        <w:spacing w:line="276" w:lineRule="auto"/>
        <w:rPr>
          <w:rFonts w:ascii="Century Gothic" w:hAnsi="Century Gothic"/>
          <w:b/>
          <w:sz w:val="24"/>
          <w:szCs w:val="24"/>
          <w:u w:val="single"/>
        </w:rPr>
      </w:pPr>
    </w:p>
    <w:p w:rsidR="00040C6D" w:rsidRPr="00B64D51" w:rsidRDefault="00040C6D" w:rsidP="00040C6D">
      <w:pPr>
        <w:pStyle w:val="Textosinformato"/>
        <w:spacing w:line="276" w:lineRule="auto"/>
        <w:jc w:val="both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 w:cs="Arial"/>
          <w:sz w:val="24"/>
          <w:szCs w:val="24"/>
        </w:rPr>
        <w:t>Bogotá D.C., veinte (20) de abril de dos mil veinte (2020</w:t>
      </w:r>
      <w:r w:rsidR="0005494D">
        <w:rPr>
          <w:rFonts w:ascii="Century Gothic" w:hAnsi="Century Gothic" w:cs="Arial"/>
          <w:sz w:val="24"/>
          <w:szCs w:val="24"/>
        </w:rPr>
        <w:t>)</w:t>
      </w:r>
    </w:p>
    <w:p w:rsidR="00040C6D" w:rsidRDefault="00040C6D" w:rsidP="00040C6D">
      <w:pPr>
        <w:pStyle w:val="Textosinformato"/>
        <w:spacing w:line="276" w:lineRule="auto"/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:rsidR="00040C6D" w:rsidRPr="0062060E" w:rsidRDefault="00040C6D" w:rsidP="00040C6D">
      <w:pPr>
        <w:pStyle w:val="Textosinformato"/>
        <w:spacing w:line="276" w:lineRule="auto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62060E">
        <w:rPr>
          <w:rFonts w:ascii="Century Gothic" w:hAnsi="Century Gothic"/>
          <w:b/>
          <w:sz w:val="24"/>
          <w:szCs w:val="24"/>
          <w:u w:val="single"/>
        </w:rPr>
        <w:t>ACCIÓN DE TUTELA</w:t>
      </w:r>
    </w:p>
    <w:p w:rsidR="00040C6D" w:rsidRDefault="0005494D" w:rsidP="00040C6D">
      <w:pPr>
        <w:spacing w:after="0"/>
        <w:jc w:val="center"/>
        <w:rPr>
          <w:rFonts w:ascii="Century Gothic" w:hAnsi="Century Gothic"/>
          <w:b/>
          <w:bCs/>
          <w:sz w:val="24"/>
          <w:szCs w:val="24"/>
          <w:u w:val="single"/>
        </w:rPr>
      </w:pPr>
      <w:r>
        <w:rPr>
          <w:rFonts w:ascii="Century Gothic" w:hAnsi="Century Gothic"/>
          <w:b/>
          <w:bCs/>
          <w:sz w:val="24"/>
          <w:szCs w:val="24"/>
          <w:u w:val="single"/>
        </w:rPr>
        <w:t xml:space="preserve">AVOCA Y </w:t>
      </w:r>
      <w:r w:rsidR="00040C6D" w:rsidRPr="0062060E">
        <w:rPr>
          <w:rFonts w:ascii="Century Gothic" w:hAnsi="Century Gothic"/>
          <w:b/>
          <w:bCs/>
          <w:sz w:val="24"/>
          <w:szCs w:val="24"/>
          <w:u w:val="single"/>
        </w:rPr>
        <w:t>A</w:t>
      </w:r>
      <w:r w:rsidR="00040C6D">
        <w:rPr>
          <w:rFonts w:ascii="Century Gothic" w:hAnsi="Century Gothic"/>
          <w:b/>
          <w:bCs/>
          <w:sz w:val="24"/>
          <w:szCs w:val="24"/>
          <w:u w:val="single"/>
        </w:rPr>
        <w:t>CUMULA</w:t>
      </w:r>
    </w:p>
    <w:p w:rsidR="00040C6D" w:rsidRDefault="00040C6D" w:rsidP="00040C6D">
      <w:pPr>
        <w:spacing w:after="0"/>
        <w:jc w:val="center"/>
        <w:rPr>
          <w:rFonts w:ascii="Century Gothic" w:hAnsi="Century Gothic"/>
          <w:b/>
          <w:bCs/>
          <w:sz w:val="24"/>
          <w:szCs w:val="24"/>
          <w:u w:val="single"/>
        </w:rPr>
      </w:pPr>
    </w:p>
    <w:p w:rsidR="00040C6D" w:rsidRDefault="00040C6D" w:rsidP="00040C6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Encontrándose la presente acción de tutela al Despacho se hace necesario pronunciarse</w:t>
      </w:r>
      <w:r w:rsidR="0005494D">
        <w:rPr>
          <w:rFonts w:ascii="Century Gothic" w:hAnsi="Century Gothic"/>
          <w:sz w:val="24"/>
          <w:szCs w:val="24"/>
        </w:rPr>
        <w:t xml:space="preserve"> sobre el trámite de tutelas masivas, de conformidad con lo previsto en el Decreto 1384 de 2015.</w:t>
      </w:r>
    </w:p>
    <w:p w:rsidR="00040C6D" w:rsidRDefault="00040C6D" w:rsidP="00040C6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:rsidR="00040C6D" w:rsidRDefault="0005494D" w:rsidP="00040C6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El</w:t>
      </w:r>
      <w:r w:rsidR="00040C6D">
        <w:rPr>
          <w:rFonts w:ascii="Century Gothic" w:hAnsi="Century Gothic"/>
          <w:sz w:val="24"/>
          <w:szCs w:val="24"/>
        </w:rPr>
        <w:t xml:space="preserve"> Decreto 1834 de 2015 establece lo siguiente:</w:t>
      </w:r>
    </w:p>
    <w:p w:rsidR="00040C6D" w:rsidRDefault="00040C6D" w:rsidP="00040C6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:rsidR="00040C6D" w:rsidRPr="00040C6D" w:rsidRDefault="00040C6D" w:rsidP="00040C6D">
      <w:pPr>
        <w:spacing w:after="150" w:line="240" w:lineRule="auto"/>
        <w:ind w:left="567" w:right="900"/>
        <w:jc w:val="both"/>
        <w:rPr>
          <w:rFonts w:ascii="Century Gothic" w:eastAsia="Times New Roman" w:hAnsi="Century Gothic" w:cs="Arial"/>
          <w:i/>
          <w:iCs/>
          <w:color w:val="000000"/>
          <w:sz w:val="20"/>
          <w:szCs w:val="20"/>
          <w:lang w:eastAsia="es-ES_tradnl"/>
        </w:rPr>
      </w:pPr>
      <w:r>
        <w:rPr>
          <w:rFonts w:ascii="Century Gothic" w:eastAsia="Times New Roman" w:hAnsi="Century Gothic" w:cs="Arial"/>
          <w:b/>
          <w:bCs/>
          <w:i/>
          <w:iCs/>
          <w:color w:val="000000"/>
          <w:sz w:val="20"/>
          <w:szCs w:val="20"/>
          <w:lang w:eastAsia="es-ES_tradnl"/>
        </w:rPr>
        <w:t>“</w:t>
      </w:r>
      <w:r w:rsidRPr="00040C6D">
        <w:rPr>
          <w:rFonts w:ascii="Century Gothic" w:eastAsia="Times New Roman" w:hAnsi="Century Gothic" w:cs="Arial"/>
          <w:b/>
          <w:bCs/>
          <w:i/>
          <w:iCs/>
          <w:color w:val="000000"/>
          <w:sz w:val="20"/>
          <w:szCs w:val="20"/>
          <w:lang w:eastAsia="es-ES_tradnl"/>
        </w:rPr>
        <w:t>Artículo 2.2.3.1.3.1. Reparto de acciones de tutela masivas</w:t>
      </w:r>
      <w:r w:rsidRPr="00040C6D">
        <w:rPr>
          <w:rFonts w:ascii="Century Gothic" w:eastAsia="Times New Roman" w:hAnsi="Century Gothic" w:cs="Arial"/>
          <w:i/>
          <w:iCs/>
          <w:color w:val="000000"/>
          <w:sz w:val="20"/>
          <w:szCs w:val="20"/>
          <w:lang w:eastAsia="es-ES_tradnl"/>
        </w:rPr>
        <w:t>. Las acciones de tutela que persigan la protección de los mismos derechos fundamentales, presuntamente amenazados o vulnerados por una sola y misma acción u omisión de una autoridad pública o de un particular se asignarán, todas, al despacho judicial que, según las reglas de competencia, hubiese avocado en primer lugar el conocimiento de la primera de ellas.</w:t>
      </w:r>
    </w:p>
    <w:p w:rsidR="00040C6D" w:rsidRPr="00040C6D" w:rsidRDefault="00040C6D" w:rsidP="00040C6D">
      <w:pPr>
        <w:spacing w:after="150" w:line="240" w:lineRule="auto"/>
        <w:ind w:left="567" w:right="900"/>
        <w:jc w:val="both"/>
        <w:rPr>
          <w:rFonts w:ascii="Century Gothic" w:eastAsia="Times New Roman" w:hAnsi="Century Gothic" w:cs="Arial"/>
          <w:i/>
          <w:iCs/>
          <w:color w:val="000000"/>
          <w:sz w:val="20"/>
          <w:szCs w:val="20"/>
          <w:lang w:eastAsia="es-ES_tradnl"/>
        </w:rPr>
      </w:pPr>
      <w:r w:rsidRPr="00040C6D">
        <w:rPr>
          <w:rFonts w:ascii="Century Gothic" w:eastAsia="Times New Roman" w:hAnsi="Century Gothic" w:cs="Arial"/>
          <w:i/>
          <w:iCs/>
          <w:color w:val="000000"/>
          <w:sz w:val="20"/>
          <w:szCs w:val="20"/>
          <w:lang w:eastAsia="es-ES_tradnl"/>
        </w:rPr>
        <w:t>A dicho Despacho se remitirán las tutelas de iguales características que con posterioridad se presenten, incluso después del fallo de instancia.</w:t>
      </w:r>
    </w:p>
    <w:p w:rsidR="00040C6D" w:rsidRPr="00040C6D" w:rsidRDefault="00040C6D" w:rsidP="00040C6D">
      <w:pPr>
        <w:spacing w:after="150" w:line="240" w:lineRule="auto"/>
        <w:ind w:left="567" w:right="900"/>
        <w:jc w:val="both"/>
        <w:rPr>
          <w:rFonts w:ascii="Century Gothic" w:eastAsia="Times New Roman" w:hAnsi="Century Gothic" w:cs="Arial"/>
          <w:i/>
          <w:iCs/>
          <w:color w:val="000000"/>
          <w:sz w:val="20"/>
          <w:szCs w:val="20"/>
          <w:lang w:eastAsia="es-ES_tradnl"/>
        </w:rPr>
      </w:pPr>
      <w:r>
        <w:rPr>
          <w:rFonts w:ascii="Century Gothic" w:eastAsia="Times New Roman" w:hAnsi="Century Gothic" w:cs="Arial"/>
          <w:i/>
          <w:iCs/>
          <w:color w:val="000000"/>
          <w:sz w:val="20"/>
          <w:szCs w:val="20"/>
          <w:lang w:eastAsia="es-ES_tradnl"/>
        </w:rPr>
        <w:t>(…)”</w:t>
      </w:r>
      <w:r w:rsidRPr="00040C6D">
        <w:rPr>
          <w:rFonts w:ascii="Century Gothic" w:eastAsia="Times New Roman" w:hAnsi="Century Gothic" w:cs="Arial"/>
          <w:i/>
          <w:iCs/>
          <w:color w:val="000000"/>
          <w:sz w:val="20"/>
          <w:szCs w:val="20"/>
          <w:lang w:eastAsia="es-ES_tradnl"/>
        </w:rPr>
        <w:t>.</w:t>
      </w:r>
    </w:p>
    <w:p w:rsidR="0005494D" w:rsidRDefault="0005494D" w:rsidP="00040C6D">
      <w:pPr>
        <w:pStyle w:val="NormalWeb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este Despacho judicial fue repartida la Tutela No. 110013336064-2020-00077-00, adelantada por </w:t>
      </w:r>
      <w:r w:rsidRPr="006B3A9E">
        <w:rPr>
          <w:rFonts w:ascii="Century Gothic" w:hAnsi="Century Gothic"/>
          <w:b/>
        </w:rPr>
        <w:t>Natalia Garzón Poveda</w:t>
      </w:r>
      <w:r>
        <w:rPr>
          <w:rFonts w:ascii="Century Gothic" w:hAnsi="Century Gothic"/>
        </w:rPr>
        <w:t xml:space="preserve"> contra la </w:t>
      </w:r>
      <w:r w:rsidRPr="006B3A9E">
        <w:rPr>
          <w:rFonts w:ascii="Century Gothic" w:hAnsi="Century Gothic"/>
          <w:b/>
        </w:rPr>
        <w:t>Nación –Ministerio de Relaciones Exteriores, La Embajada de la República de Colombia en Australia y Migración Colombia</w:t>
      </w:r>
      <w:r>
        <w:rPr>
          <w:rFonts w:ascii="Century Gothic" w:hAnsi="Century Gothic"/>
        </w:rPr>
        <w:t xml:space="preserve">, en la que se procura obtener la defensa de los derechos fundamentales </w:t>
      </w:r>
      <w:r w:rsidR="001D2A89">
        <w:rPr>
          <w:rFonts w:ascii="Century Gothic" w:hAnsi="Century Gothic"/>
        </w:rPr>
        <w:t xml:space="preserve">a la </w:t>
      </w:r>
      <w:r w:rsidR="001D2A89" w:rsidRPr="006B3A9E">
        <w:rPr>
          <w:rFonts w:ascii="Century Gothic" w:hAnsi="Century Gothic"/>
          <w:b/>
        </w:rPr>
        <w:t>vida, a la salud, a la igualdad y de locomoción</w:t>
      </w:r>
      <w:r w:rsidR="001D2A89">
        <w:rPr>
          <w:rFonts w:ascii="Century Gothic" w:hAnsi="Century Gothic"/>
        </w:rPr>
        <w:t xml:space="preserve">, vulnerados en la medida que se encuentra temporalmente en territorio Australiano, y no ha podido regresar a la República de Colombia debido al cierre de los aeropuertos y terminales aéreos ordenados por el gobierno nacional por la emergencia sanitaria generada por la pandemia del </w:t>
      </w:r>
      <w:proofErr w:type="spellStart"/>
      <w:r w:rsidR="001D2A89">
        <w:rPr>
          <w:rFonts w:ascii="Century Gothic" w:hAnsi="Century Gothic"/>
        </w:rPr>
        <w:t>Covid</w:t>
      </w:r>
      <w:proofErr w:type="spellEnd"/>
      <w:r w:rsidR="001D2A89">
        <w:rPr>
          <w:rFonts w:ascii="Century Gothic" w:hAnsi="Century Gothic"/>
        </w:rPr>
        <w:t xml:space="preserve"> 19.</w:t>
      </w:r>
    </w:p>
    <w:p w:rsidR="00073943" w:rsidRDefault="001D2A89" w:rsidP="00040C6D">
      <w:pPr>
        <w:pStyle w:val="NormalWeb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Al Juzgado 4° Administrativo de Oralidad de Bogotá le </w:t>
      </w:r>
      <w:r w:rsidR="00073943">
        <w:rPr>
          <w:rFonts w:ascii="Century Gothic" w:hAnsi="Century Gothic"/>
        </w:rPr>
        <w:t>fue repartida</w:t>
      </w:r>
      <w:r>
        <w:rPr>
          <w:rFonts w:ascii="Century Gothic" w:hAnsi="Century Gothic"/>
        </w:rPr>
        <w:t xml:space="preserve"> una acción de tutela </w:t>
      </w:r>
      <w:r w:rsidR="00073943">
        <w:rPr>
          <w:rFonts w:ascii="Century Gothic" w:hAnsi="Century Gothic"/>
        </w:rPr>
        <w:t>de otra persona, pero que tiene identidad de fundamentos facticos y jurídicos a la repartida a éste Despacho Judicial.</w:t>
      </w:r>
    </w:p>
    <w:p w:rsidR="00073943" w:rsidRDefault="00073943" w:rsidP="00040C6D">
      <w:pPr>
        <w:pStyle w:val="NormalWeb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Se sabe que un gran número de ciudadanos que se encuentran varados en Australia formularon en forma masiva acciones de tutela que han sido repartidas a diferentes Juzgados Administrativos de Bogotá, en procura de la protección de los mismos derechos fundamentales a la vida, a la salud, a la igualdad y de locomoción.</w:t>
      </w:r>
    </w:p>
    <w:p w:rsidR="00073943" w:rsidRDefault="00073943" w:rsidP="00040C6D">
      <w:pPr>
        <w:pStyle w:val="NormalWeb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El Juzgado 4° Administrativo de Oralidad de Bogotá hizo un consolidado de las acciones de tutela presentadas ante los diferentes </w:t>
      </w:r>
      <w:r w:rsidR="006B3A9E">
        <w:rPr>
          <w:rFonts w:ascii="Century Gothic" w:hAnsi="Century Gothic"/>
        </w:rPr>
        <w:t>Despachos</w:t>
      </w:r>
      <w:r>
        <w:rPr>
          <w:rFonts w:ascii="Century Gothic" w:hAnsi="Century Gothic"/>
        </w:rPr>
        <w:t xml:space="preserve"> Administrativos de Bogotá, con la finalidad de determinar cuál fue el primero que notificó a las autoridades accionadas, para saber cuál era el Despacho que conforme a las reglas de reparto de tutelas masivas contempladas en el Decreto 1834 de 2015, debía conocer de las mismas.</w:t>
      </w:r>
    </w:p>
    <w:p w:rsidR="0005494D" w:rsidRDefault="00073943" w:rsidP="00040C6D">
      <w:pPr>
        <w:pStyle w:val="NormalWeb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La mayoría de los Juzgados emitieron respuesta, a excepción de los Juzgados 19 y 65 Administrativos. Sin embargo, del consolidado gestionado por el Juzgado 4 Administrativo, se evidencia que, de los Despachos reportados, </w:t>
      </w:r>
      <w:r w:rsidR="006B3A9E">
        <w:rPr>
          <w:rFonts w:ascii="Century Gothic" w:hAnsi="Century Gothic"/>
        </w:rPr>
        <w:t>el Juzgado 64 Administrativo de Bogotá</w:t>
      </w:r>
      <w:r>
        <w:rPr>
          <w:rFonts w:ascii="Century Gothic" w:hAnsi="Century Gothic"/>
        </w:rPr>
        <w:t xml:space="preserve"> fue el primero </w:t>
      </w:r>
      <w:r w:rsidR="006B3A9E">
        <w:rPr>
          <w:rFonts w:ascii="Century Gothic" w:hAnsi="Century Gothic"/>
        </w:rPr>
        <w:t xml:space="preserve">que </w:t>
      </w:r>
      <w:r>
        <w:rPr>
          <w:rFonts w:ascii="Century Gothic" w:hAnsi="Century Gothic"/>
        </w:rPr>
        <w:t>notificó a las entidades demandadas, por lo que de conformidad con lo señalado en el Decret</w:t>
      </w:r>
      <w:r w:rsidR="006B3A9E">
        <w:rPr>
          <w:rFonts w:ascii="Century Gothic" w:hAnsi="Century Gothic"/>
        </w:rPr>
        <w:t>o</w:t>
      </w:r>
      <w:r>
        <w:rPr>
          <w:rFonts w:ascii="Century Gothic" w:hAnsi="Century Gothic"/>
        </w:rPr>
        <w:t xml:space="preserve"> 1834 de 2015, avocará las tutelas masivas relacionadas con </w:t>
      </w:r>
      <w:r w:rsidR="006B3A9E">
        <w:rPr>
          <w:rFonts w:ascii="Century Gothic" w:hAnsi="Century Gothic"/>
        </w:rPr>
        <w:t>idénticos</w:t>
      </w:r>
      <w:r>
        <w:rPr>
          <w:rFonts w:ascii="Century Gothic" w:hAnsi="Century Gothic"/>
        </w:rPr>
        <w:t xml:space="preserve"> derechos fundamentales y situación fáctica y jurídica referidos en líneas anteriores.  </w:t>
      </w:r>
    </w:p>
    <w:p w:rsidR="00040C6D" w:rsidRPr="0049405C" w:rsidRDefault="00B36A35" w:rsidP="0049405C">
      <w:pPr>
        <w:pStyle w:val="NormalWeb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Por lo expuesto el Juzgado,</w:t>
      </w:r>
      <w:r w:rsidR="00040C6D" w:rsidRPr="00040C6D">
        <w:rPr>
          <w:rFonts w:ascii="Century Gothic" w:hAnsi="Century Gothic"/>
        </w:rPr>
        <w:t xml:space="preserve"> </w:t>
      </w:r>
    </w:p>
    <w:p w:rsidR="00040C6D" w:rsidRDefault="00040C6D" w:rsidP="00040C6D">
      <w:pPr>
        <w:pStyle w:val="Textoindependiente2"/>
        <w:spacing w:line="276" w:lineRule="auto"/>
        <w:ind w:left="0" w:firstLine="0"/>
        <w:jc w:val="center"/>
        <w:rPr>
          <w:rFonts w:ascii="Century Gothic" w:hAnsi="Century Gothic" w:cs="Times New Roman"/>
        </w:rPr>
      </w:pPr>
      <w:r w:rsidRPr="0062060E">
        <w:rPr>
          <w:rFonts w:ascii="Century Gothic" w:hAnsi="Century Gothic" w:cs="Times New Roman"/>
        </w:rPr>
        <w:t>DISPONE:</w:t>
      </w:r>
    </w:p>
    <w:p w:rsidR="00040C6D" w:rsidRPr="006A520B" w:rsidRDefault="00040C6D" w:rsidP="00040C6D">
      <w:pPr>
        <w:pStyle w:val="Textoindependiente2"/>
        <w:spacing w:line="276" w:lineRule="auto"/>
        <w:ind w:left="0" w:firstLine="0"/>
        <w:jc w:val="center"/>
        <w:rPr>
          <w:rFonts w:ascii="Century Gothic" w:hAnsi="Century Gothic" w:cs="Times New Roman"/>
        </w:rPr>
      </w:pPr>
    </w:p>
    <w:p w:rsidR="00B36A35" w:rsidRPr="009D55D7" w:rsidRDefault="009D55D7" w:rsidP="00040C6D">
      <w:pPr>
        <w:pStyle w:val="Prrafodelista"/>
        <w:numPr>
          <w:ilvl w:val="0"/>
          <w:numId w:val="1"/>
        </w:numPr>
        <w:tabs>
          <w:tab w:val="left" w:pos="284"/>
        </w:tabs>
        <w:spacing w:after="0"/>
        <w:ind w:left="0" w:hanging="11"/>
        <w:jc w:val="both"/>
        <w:rPr>
          <w:rFonts w:ascii="Century Gothic" w:eastAsia="Times New Roman" w:hAnsi="Century Gothic"/>
          <w:sz w:val="24"/>
          <w:szCs w:val="24"/>
          <w:lang w:val="es-ES" w:eastAsia="es-ES"/>
        </w:rPr>
      </w:pPr>
      <w:r w:rsidRPr="009D55D7">
        <w:rPr>
          <w:rFonts w:ascii="Century Gothic" w:eastAsia="Times New Roman" w:hAnsi="Century Gothic"/>
          <w:b/>
          <w:sz w:val="24"/>
          <w:szCs w:val="24"/>
          <w:lang w:val="es-ES" w:eastAsia="es-ES"/>
        </w:rPr>
        <w:t>AVOCAR</w:t>
      </w:r>
      <w:r w:rsidRPr="009D55D7">
        <w:rPr>
          <w:rFonts w:ascii="Century Gothic" w:eastAsia="Times New Roman" w:hAnsi="Century Gothic"/>
          <w:sz w:val="24"/>
          <w:szCs w:val="24"/>
          <w:lang w:val="es-ES" w:eastAsia="es-ES"/>
        </w:rPr>
        <w:t xml:space="preserve"> el conocimiento de las acciones de tutela masivas instauradas por</w:t>
      </w:r>
      <w:r>
        <w:rPr>
          <w:rFonts w:ascii="Century Gothic" w:eastAsia="Times New Roman" w:hAnsi="Century Gothic"/>
          <w:sz w:val="24"/>
          <w:szCs w:val="24"/>
          <w:lang w:val="es-ES" w:eastAsia="es-ES"/>
        </w:rPr>
        <w:t xml:space="preserve"> diferentes personas</w:t>
      </w:r>
      <w:r w:rsidRPr="009D55D7">
        <w:rPr>
          <w:rFonts w:ascii="Century Gothic" w:eastAsia="Times New Roman" w:hAnsi="Century Gothic"/>
          <w:sz w:val="24"/>
          <w:szCs w:val="24"/>
          <w:lang w:val="es-ES" w:eastAsia="es-ES"/>
        </w:rPr>
        <w:t xml:space="preserve"> </w:t>
      </w:r>
      <w:r w:rsidRPr="009D55D7">
        <w:rPr>
          <w:rFonts w:ascii="Century Gothic" w:hAnsi="Century Gothic"/>
          <w:sz w:val="24"/>
          <w:szCs w:val="24"/>
        </w:rPr>
        <w:t xml:space="preserve">contra la </w:t>
      </w:r>
      <w:r w:rsidRPr="009D55D7">
        <w:rPr>
          <w:rFonts w:ascii="Century Gothic" w:hAnsi="Century Gothic"/>
          <w:b/>
          <w:sz w:val="24"/>
          <w:szCs w:val="24"/>
        </w:rPr>
        <w:t>Nación –Ministerio de Relaciones Exteriores, La Embajada de la República de Colombia en Australia y Migración Colombia</w:t>
      </w:r>
      <w:r w:rsidRPr="009D55D7">
        <w:rPr>
          <w:rFonts w:ascii="Century Gothic" w:hAnsi="Century Gothic"/>
          <w:sz w:val="24"/>
          <w:szCs w:val="24"/>
        </w:rPr>
        <w:t>, en la</w:t>
      </w:r>
      <w:r>
        <w:rPr>
          <w:rFonts w:ascii="Century Gothic" w:hAnsi="Century Gothic"/>
          <w:sz w:val="24"/>
          <w:szCs w:val="24"/>
        </w:rPr>
        <w:t>s</w:t>
      </w:r>
      <w:r w:rsidRPr="009D55D7">
        <w:rPr>
          <w:rFonts w:ascii="Century Gothic" w:hAnsi="Century Gothic"/>
          <w:sz w:val="24"/>
          <w:szCs w:val="24"/>
        </w:rPr>
        <w:t xml:space="preserve"> que se procura obtener la defensa de los derechos fundamentales a </w:t>
      </w:r>
      <w:r w:rsidRPr="009D55D7">
        <w:rPr>
          <w:rFonts w:ascii="Century Gothic" w:hAnsi="Century Gothic"/>
          <w:b/>
          <w:sz w:val="24"/>
          <w:szCs w:val="24"/>
        </w:rPr>
        <w:t>la vida, a la salud, a la igualdad y de locomoción</w:t>
      </w:r>
      <w:r w:rsidRPr="009D55D7">
        <w:rPr>
          <w:rFonts w:ascii="Century Gothic" w:hAnsi="Century Gothic"/>
          <w:sz w:val="24"/>
          <w:szCs w:val="24"/>
        </w:rPr>
        <w:t xml:space="preserve">, vulnerados en la medida que </w:t>
      </w:r>
      <w:r w:rsidRPr="009D55D7">
        <w:rPr>
          <w:rFonts w:ascii="Century Gothic" w:hAnsi="Century Gothic"/>
          <w:b/>
          <w:sz w:val="24"/>
          <w:szCs w:val="24"/>
        </w:rPr>
        <w:t>se encuentran temporalmente en territorio Australiano, y no ha</w:t>
      </w:r>
      <w:r>
        <w:rPr>
          <w:rFonts w:ascii="Century Gothic" w:hAnsi="Century Gothic"/>
          <w:b/>
          <w:sz w:val="24"/>
          <w:szCs w:val="24"/>
        </w:rPr>
        <w:t>n</w:t>
      </w:r>
      <w:r w:rsidRPr="009D55D7">
        <w:rPr>
          <w:rFonts w:ascii="Century Gothic" w:hAnsi="Century Gothic"/>
          <w:b/>
          <w:sz w:val="24"/>
          <w:szCs w:val="24"/>
        </w:rPr>
        <w:t xml:space="preserve"> podido regresar a la República de Colombia debido al cierre de los aeropuertos y terminales aéreos ordenados por el Gobierno Nacional de Colombia por la emergencia sanitaria generada por la pandemia del </w:t>
      </w:r>
      <w:proofErr w:type="spellStart"/>
      <w:r w:rsidRPr="009D55D7">
        <w:rPr>
          <w:rFonts w:ascii="Century Gothic" w:hAnsi="Century Gothic"/>
          <w:b/>
          <w:sz w:val="24"/>
          <w:szCs w:val="24"/>
        </w:rPr>
        <w:t>Covid</w:t>
      </w:r>
      <w:proofErr w:type="spellEnd"/>
      <w:r w:rsidRPr="009D55D7">
        <w:rPr>
          <w:rFonts w:ascii="Century Gothic" w:hAnsi="Century Gothic"/>
          <w:b/>
          <w:sz w:val="24"/>
          <w:szCs w:val="24"/>
        </w:rPr>
        <w:t xml:space="preserve"> 19</w:t>
      </w:r>
      <w:r w:rsidRPr="009D55D7">
        <w:rPr>
          <w:rFonts w:ascii="Century Gothic" w:hAnsi="Century Gothic"/>
          <w:sz w:val="24"/>
          <w:szCs w:val="24"/>
        </w:rPr>
        <w:t>.</w:t>
      </w:r>
      <w:r w:rsidRPr="009D55D7">
        <w:rPr>
          <w:rFonts w:ascii="Century Gothic" w:eastAsia="Times New Roman" w:hAnsi="Century Gothic"/>
          <w:sz w:val="24"/>
          <w:szCs w:val="24"/>
          <w:lang w:val="es-ES" w:eastAsia="es-ES"/>
        </w:rPr>
        <w:t xml:space="preserve"> </w:t>
      </w:r>
    </w:p>
    <w:p w:rsidR="009D55D7" w:rsidRPr="009D55D7" w:rsidRDefault="009D55D7" w:rsidP="00040C6D">
      <w:pPr>
        <w:pStyle w:val="Prrafodelista"/>
        <w:numPr>
          <w:ilvl w:val="0"/>
          <w:numId w:val="1"/>
        </w:numPr>
        <w:tabs>
          <w:tab w:val="left" w:pos="284"/>
        </w:tabs>
        <w:spacing w:after="0"/>
        <w:ind w:left="0" w:hanging="11"/>
        <w:jc w:val="both"/>
        <w:rPr>
          <w:rFonts w:ascii="Century Gothic" w:eastAsia="Times New Roman" w:hAnsi="Century Gothic"/>
          <w:sz w:val="24"/>
          <w:szCs w:val="24"/>
          <w:lang w:val="es-ES" w:eastAsia="es-ES"/>
        </w:rPr>
      </w:pPr>
      <w:r>
        <w:rPr>
          <w:rFonts w:ascii="Century Gothic" w:eastAsia="Times New Roman" w:hAnsi="Century Gothic"/>
          <w:b/>
          <w:bCs/>
          <w:sz w:val="24"/>
          <w:szCs w:val="24"/>
          <w:lang w:val="es-ES" w:eastAsia="es-ES"/>
        </w:rPr>
        <w:t xml:space="preserve">COMUNICAR </w:t>
      </w:r>
      <w:r w:rsidRPr="009D55D7">
        <w:rPr>
          <w:rFonts w:ascii="Century Gothic" w:eastAsia="Times New Roman" w:hAnsi="Century Gothic"/>
          <w:bCs/>
          <w:sz w:val="24"/>
          <w:szCs w:val="24"/>
          <w:lang w:val="es-ES" w:eastAsia="es-ES"/>
        </w:rPr>
        <w:t>en forma expedita</w:t>
      </w:r>
      <w:r>
        <w:rPr>
          <w:rFonts w:ascii="Century Gothic" w:eastAsia="Times New Roman" w:hAnsi="Century Gothic"/>
          <w:bCs/>
          <w:sz w:val="24"/>
          <w:szCs w:val="24"/>
          <w:lang w:val="es-ES" w:eastAsia="es-ES"/>
        </w:rPr>
        <w:t xml:space="preserve"> a los demás Jueces Administrativos de Bogotá la decisión adoptada, para que en el término de 24 horas de que trata el Decreto 1834 de 2015, alleguen a este Juzgado las acciones de tutela y anexos que se les hayan repartido en procura de la protección de los mismos derechos fundamentales, y que</w:t>
      </w:r>
      <w:r w:rsidRPr="009D55D7">
        <w:rPr>
          <w:rFonts w:ascii="Century Gothic" w:eastAsia="Times New Roman" w:hAnsi="Century Gothic"/>
          <w:bCs/>
          <w:sz w:val="24"/>
          <w:szCs w:val="24"/>
          <w:lang w:val="es-ES" w:eastAsia="es-ES"/>
        </w:rPr>
        <w:t xml:space="preserve"> tengan idénticos fundamentos fácticos y jurídicos a los reseñados en la tutela No. </w:t>
      </w:r>
      <w:r w:rsidRPr="009D55D7">
        <w:rPr>
          <w:rFonts w:ascii="Century Gothic" w:hAnsi="Century Gothic"/>
          <w:sz w:val="24"/>
          <w:szCs w:val="24"/>
        </w:rPr>
        <w:t xml:space="preserve">110013336064-2020-00077-00, adelantada por Natalia Garzón Poveda contra la Nación –Ministerio de Relaciones Exteriores, La Embajada de la República de Colombia en Australia y Migración Colombia, que conoce este </w:t>
      </w:r>
      <w:r>
        <w:rPr>
          <w:rFonts w:ascii="Century Gothic" w:hAnsi="Century Gothic"/>
          <w:sz w:val="24"/>
          <w:szCs w:val="24"/>
        </w:rPr>
        <w:t>D</w:t>
      </w:r>
      <w:r w:rsidRPr="009D55D7">
        <w:rPr>
          <w:rFonts w:ascii="Century Gothic" w:hAnsi="Century Gothic"/>
          <w:sz w:val="24"/>
          <w:szCs w:val="24"/>
        </w:rPr>
        <w:t>espacho.</w:t>
      </w:r>
    </w:p>
    <w:p w:rsidR="00813433" w:rsidRPr="00813433" w:rsidRDefault="009D55D7" w:rsidP="00813433">
      <w:pPr>
        <w:pStyle w:val="Prrafodelista"/>
        <w:numPr>
          <w:ilvl w:val="0"/>
          <w:numId w:val="1"/>
        </w:numPr>
        <w:tabs>
          <w:tab w:val="left" w:pos="284"/>
        </w:tabs>
        <w:spacing w:after="0"/>
        <w:ind w:left="0" w:hanging="11"/>
        <w:jc w:val="both"/>
        <w:rPr>
          <w:rFonts w:ascii="Century Gothic" w:eastAsia="Times New Roman" w:hAnsi="Century Gothic"/>
          <w:b/>
          <w:sz w:val="24"/>
          <w:szCs w:val="24"/>
          <w:lang w:val="es-ES" w:eastAsia="es-ES"/>
        </w:rPr>
      </w:pPr>
      <w:r>
        <w:rPr>
          <w:rFonts w:ascii="Century Gothic" w:eastAsia="Times New Roman" w:hAnsi="Century Gothic"/>
          <w:b/>
          <w:sz w:val="24"/>
          <w:szCs w:val="24"/>
          <w:lang w:val="es-ES" w:eastAsia="es-ES"/>
        </w:rPr>
        <w:t xml:space="preserve">AMUMULAR </w:t>
      </w:r>
      <w:r>
        <w:rPr>
          <w:rFonts w:ascii="Century Gothic" w:eastAsia="Times New Roman" w:hAnsi="Century Gothic"/>
          <w:sz w:val="24"/>
          <w:szCs w:val="24"/>
          <w:lang w:val="es-ES" w:eastAsia="es-ES"/>
        </w:rPr>
        <w:t>todas las acciones de tutela que remitan los diferentes despachos judiciales en virtud de lo dispuesto en esta providencia, a la</w:t>
      </w:r>
      <w:r w:rsidR="00813433">
        <w:rPr>
          <w:rFonts w:ascii="Century Gothic" w:eastAsia="Times New Roman" w:hAnsi="Century Gothic"/>
          <w:sz w:val="24"/>
          <w:szCs w:val="24"/>
          <w:lang w:val="es-ES" w:eastAsia="es-ES"/>
        </w:rPr>
        <w:t xml:space="preserve"> </w:t>
      </w:r>
      <w:r w:rsidR="00813433" w:rsidRPr="009D55D7">
        <w:rPr>
          <w:rFonts w:ascii="Century Gothic" w:eastAsia="Times New Roman" w:hAnsi="Century Gothic"/>
          <w:bCs/>
          <w:sz w:val="24"/>
          <w:szCs w:val="24"/>
          <w:lang w:val="es-ES" w:eastAsia="es-ES"/>
        </w:rPr>
        <w:t xml:space="preserve">tutela </w:t>
      </w:r>
      <w:r w:rsidR="00813433" w:rsidRPr="007836B9">
        <w:rPr>
          <w:rFonts w:ascii="Century Gothic" w:eastAsia="Times New Roman" w:hAnsi="Century Gothic"/>
          <w:b/>
          <w:bCs/>
          <w:sz w:val="24"/>
          <w:szCs w:val="24"/>
          <w:lang w:val="es-ES" w:eastAsia="es-ES"/>
        </w:rPr>
        <w:t xml:space="preserve">No. </w:t>
      </w:r>
      <w:r w:rsidR="00813433" w:rsidRPr="007836B9">
        <w:rPr>
          <w:rFonts w:ascii="Century Gothic" w:hAnsi="Century Gothic"/>
          <w:b/>
          <w:sz w:val="24"/>
          <w:szCs w:val="24"/>
        </w:rPr>
        <w:t>110013336064-2020-00077-00</w:t>
      </w:r>
      <w:r w:rsidR="00813433" w:rsidRPr="009D55D7">
        <w:rPr>
          <w:rFonts w:ascii="Century Gothic" w:hAnsi="Century Gothic"/>
          <w:sz w:val="24"/>
          <w:szCs w:val="24"/>
        </w:rPr>
        <w:t>, adelantada por Natalia Garzón Poveda</w:t>
      </w:r>
      <w:r w:rsidR="00813433">
        <w:rPr>
          <w:rFonts w:ascii="Century Gothic" w:hAnsi="Century Gothic"/>
          <w:sz w:val="24"/>
          <w:szCs w:val="24"/>
        </w:rPr>
        <w:t xml:space="preserve">, las cuales serán falladas en una sola sentencia. </w:t>
      </w:r>
    </w:p>
    <w:p w:rsidR="00040C6D" w:rsidRPr="00FE0E9D" w:rsidRDefault="00040C6D" w:rsidP="00040C6D">
      <w:pPr>
        <w:rPr>
          <w:sz w:val="16"/>
          <w:szCs w:val="16"/>
        </w:rPr>
      </w:pPr>
    </w:p>
    <w:p w:rsidR="003F1E8B" w:rsidRDefault="00C6096E">
      <w:bookmarkStart w:id="0" w:name="_GoBack"/>
      <w:r w:rsidRPr="00C6096E">
        <w:rPr>
          <w:noProof/>
          <w:lang w:eastAsia="es-CO"/>
        </w:rPr>
        <w:lastRenderedPageBreak/>
        <w:drawing>
          <wp:inline distT="0" distB="0" distL="0" distR="0">
            <wp:extent cx="6038850" cy="10972800"/>
            <wp:effectExtent l="0" t="0" r="0" b="0"/>
            <wp:docPr id="1" name="Imagen 1" descr="D:\Home\Downloads\WhatsApp Image 2020-04-20 at 10.22.24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ome\Downloads\WhatsApp Image 2020-04-20 at 10.22.24 AM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F1E8B" w:rsidSect="0021482B">
      <w:headerReference w:type="default" r:id="rId9"/>
      <w:pgSz w:w="12240" w:h="18720" w:code="14"/>
      <w:pgMar w:top="1417" w:right="1701" w:bottom="1417" w:left="1701" w:header="709" w:footer="709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66B" w:rsidRDefault="0007166B">
      <w:pPr>
        <w:spacing w:after="0" w:line="240" w:lineRule="auto"/>
      </w:pPr>
      <w:r>
        <w:separator/>
      </w:r>
    </w:p>
  </w:endnote>
  <w:endnote w:type="continuationSeparator" w:id="0">
    <w:p w:rsidR="0007166B" w:rsidRDefault="00071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66B" w:rsidRDefault="0007166B">
      <w:pPr>
        <w:spacing w:after="0" w:line="240" w:lineRule="auto"/>
      </w:pPr>
      <w:r>
        <w:separator/>
      </w:r>
    </w:p>
  </w:footnote>
  <w:footnote w:type="continuationSeparator" w:id="0">
    <w:p w:rsidR="0007166B" w:rsidRDefault="00071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936" w:rsidRPr="00267936" w:rsidRDefault="006C17EA">
    <w:pPr>
      <w:pStyle w:val="Encabezado"/>
      <w:rPr>
        <w:sz w:val="16"/>
        <w:szCs w:val="16"/>
      </w:rPr>
    </w:pPr>
    <w:r>
      <w:rPr>
        <w:sz w:val="16"/>
        <w:szCs w:val="16"/>
      </w:rPr>
      <w:t>110013343-064-2020-00077-00</w:t>
    </w:r>
  </w:p>
  <w:p w:rsidR="00267936" w:rsidRDefault="006C17EA">
    <w:pPr>
      <w:pStyle w:val="Encabezado"/>
      <w:rPr>
        <w:sz w:val="16"/>
        <w:szCs w:val="16"/>
      </w:rPr>
    </w:pPr>
    <w:r w:rsidRPr="00267936">
      <w:rPr>
        <w:sz w:val="16"/>
        <w:szCs w:val="16"/>
      </w:rPr>
      <w:t>Auto a</w:t>
    </w:r>
    <w:r w:rsidR="009C6FF8">
      <w:rPr>
        <w:sz w:val="16"/>
        <w:szCs w:val="16"/>
      </w:rPr>
      <w:t>voca y acumula</w:t>
    </w:r>
    <w:r w:rsidRPr="00267936">
      <w:rPr>
        <w:sz w:val="16"/>
        <w:szCs w:val="16"/>
      </w:rPr>
      <w:t xml:space="preserve"> tutela</w:t>
    </w:r>
    <w:r w:rsidR="009C6FF8">
      <w:rPr>
        <w:sz w:val="16"/>
        <w:szCs w:val="16"/>
      </w:rPr>
      <w:t>s masivas</w:t>
    </w:r>
  </w:p>
  <w:p w:rsidR="00267936" w:rsidRPr="00267936" w:rsidRDefault="009E08F5">
    <w:pPr>
      <w:pStyle w:val="Encabezado"/>
      <w:rPr>
        <w:sz w:val="16"/>
        <w:szCs w:val="16"/>
      </w:rPr>
    </w:pPr>
    <w:r>
      <w:rPr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F64E8"/>
    <w:multiLevelType w:val="hybridMultilevel"/>
    <w:tmpl w:val="F7F28518"/>
    <w:lvl w:ilvl="0" w:tplc="8B4E96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6D"/>
    <w:rsid w:val="00040C6D"/>
    <w:rsid w:val="0005494D"/>
    <w:rsid w:val="0007166B"/>
    <w:rsid w:val="00073943"/>
    <w:rsid w:val="00156BAD"/>
    <w:rsid w:val="001D2A89"/>
    <w:rsid w:val="001E04F6"/>
    <w:rsid w:val="00286CAA"/>
    <w:rsid w:val="00361C80"/>
    <w:rsid w:val="003F1E8B"/>
    <w:rsid w:val="0049405C"/>
    <w:rsid w:val="006B3A9E"/>
    <w:rsid w:val="006C17EA"/>
    <w:rsid w:val="00711B20"/>
    <w:rsid w:val="007836B9"/>
    <w:rsid w:val="00813433"/>
    <w:rsid w:val="00900F3D"/>
    <w:rsid w:val="009C6FF8"/>
    <w:rsid w:val="009D55D7"/>
    <w:rsid w:val="009E08F5"/>
    <w:rsid w:val="00A8300A"/>
    <w:rsid w:val="00B36A35"/>
    <w:rsid w:val="00C6096E"/>
    <w:rsid w:val="00CB0538"/>
    <w:rsid w:val="00FE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6987030-6732-CA42-BE40-A70D81E4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C6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nhideWhenUsed/>
    <w:rsid w:val="00040C6D"/>
    <w:pPr>
      <w:spacing w:after="0" w:line="240" w:lineRule="auto"/>
    </w:pPr>
    <w:rPr>
      <w:rFonts w:ascii="Courier New" w:eastAsia="Times New Roman" w:hAnsi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040C6D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040C6D"/>
    <w:pPr>
      <w:spacing w:after="0" w:line="240" w:lineRule="auto"/>
      <w:ind w:left="2618" w:hanging="1496"/>
      <w:jc w:val="both"/>
    </w:pPr>
    <w:rPr>
      <w:rFonts w:ascii="Arial Narrow" w:eastAsia="Times New Roman" w:hAnsi="Arial Narrow" w:cs="Arial Narrow"/>
      <w:b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40C6D"/>
    <w:rPr>
      <w:rFonts w:ascii="Arial Narrow" w:eastAsia="Times New Roman" w:hAnsi="Arial Narrow" w:cs="Arial Narrow"/>
      <w:b/>
      <w:bCs/>
      <w:lang w:val="es-ES" w:eastAsia="es-ES"/>
    </w:rPr>
  </w:style>
  <w:style w:type="character" w:customStyle="1" w:styleId="Bodytext2">
    <w:name w:val="Body text (2)_"/>
    <w:link w:val="Bodytext21"/>
    <w:locked/>
    <w:rsid w:val="00040C6D"/>
    <w:rPr>
      <w:rFonts w:ascii="Century Gothic" w:eastAsia="Arial Unicode MS" w:hAnsi="Century Gothic"/>
      <w:b/>
      <w:bCs/>
      <w:sz w:val="17"/>
      <w:szCs w:val="17"/>
      <w:shd w:val="clear" w:color="auto" w:fill="FFFFFF"/>
      <w:lang w:val="es-ES_tradnl" w:eastAsia="zh-TW"/>
    </w:rPr>
  </w:style>
  <w:style w:type="paragraph" w:customStyle="1" w:styleId="Bodytext21">
    <w:name w:val="Body text (2)1"/>
    <w:basedOn w:val="Normal"/>
    <w:link w:val="Bodytext2"/>
    <w:rsid w:val="00040C6D"/>
    <w:pPr>
      <w:shd w:val="clear" w:color="auto" w:fill="FFFFFF"/>
      <w:spacing w:after="0" w:line="221" w:lineRule="exact"/>
      <w:jc w:val="both"/>
    </w:pPr>
    <w:rPr>
      <w:rFonts w:ascii="Century Gothic" w:eastAsia="Arial Unicode MS" w:hAnsi="Century Gothic" w:cstheme="minorBidi"/>
      <w:b/>
      <w:bCs/>
      <w:sz w:val="17"/>
      <w:szCs w:val="17"/>
      <w:shd w:val="clear" w:color="auto" w:fill="FFFFFF"/>
      <w:lang w:val="es-ES_tradnl" w:eastAsia="zh-TW"/>
    </w:rPr>
  </w:style>
  <w:style w:type="paragraph" w:styleId="Sinespaciado">
    <w:name w:val="No Spacing"/>
    <w:uiPriority w:val="1"/>
    <w:qFormat/>
    <w:rsid w:val="00040C6D"/>
    <w:rPr>
      <w:rFonts w:ascii="Times New Roman" w:eastAsia="Times New Roman" w:hAnsi="Times New Roman" w:cs="Times New Roman"/>
      <w:lang w:val="es-ES" w:eastAsia="es-ES"/>
    </w:rPr>
  </w:style>
  <w:style w:type="paragraph" w:styleId="Puesto">
    <w:name w:val="Title"/>
    <w:basedOn w:val="Normal"/>
    <w:link w:val="PuestoCar"/>
    <w:qFormat/>
    <w:rsid w:val="00040C6D"/>
    <w:pPr>
      <w:spacing w:after="160" w:line="259" w:lineRule="auto"/>
      <w:jc w:val="center"/>
    </w:pPr>
    <w:rPr>
      <w:rFonts w:ascii="Verdana" w:eastAsia="Times New Roman" w:hAnsi="Verdana"/>
      <w:b/>
      <w:noProof/>
      <w:sz w:val="28"/>
      <w:szCs w:val="20"/>
    </w:rPr>
  </w:style>
  <w:style w:type="character" w:customStyle="1" w:styleId="PuestoCar">
    <w:name w:val="Puesto Car"/>
    <w:basedOn w:val="Fuentedeprrafopredeter"/>
    <w:link w:val="Puesto"/>
    <w:rsid w:val="00040C6D"/>
    <w:rPr>
      <w:rFonts w:ascii="Verdana" w:eastAsia="Times New Roman" w:hAnsi="Verdana" w:cs="Times New Roman"/>
      <w:b/>
      <w:noProof/>
      <w:sz w:val="28"/>
      <w:szCs w:val="20"/>
    </w:rPr>
  </w:style>
  <w:style w:type="paragraph" w:styleId="Prrafodelista">
    <w:name w:val="List Paragraph"/>
    <w:basedOn w:val="Normal"/>
    <w:uiPriority w:val="34"/>
    <w:qFormat/>
    <w:rsid w:val="00040C6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40C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0C6D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unhideWhenUsed/>
    <w:rsid w:val="00040C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_tradnl"/>
    </w:rPr>
  </w:style>
  <w:style w:type="character" w:styleId="Textoennegrita">
    <w:name w:val="Strong"/>
    <w:basedOn w:val="Fuentedeprrafopredeter"/>
    <w:uiPriority w:val="22"/>
    <w:qFormat/>
    <w:rsid w:val="00040C6D"/>
    <w:rPr>
      <w:b/>
      <w:bCs/>
    </w:rPr>
  </w:style>
  <w:style w:type="character" w:customStyle="1" w:styleId="apple-converted-space">
    <w:name w:val="apple-converted-space"/>
    <w:basedOn w:val="Fuentedeprrafopredeter"/>
    <w:rsid w:val="00040C6D"/>
  </w:style>
  <w:style w:type="character" w:styleId="nfasis">
    <w:name w:val="Emphasis"/>
    <w:basedOn w:val="Fuentedeprrafopredeter"/>
    <w:uiPriority w:val="20"/>
    <w:qFormat/>
    <w:rsid w:val="00040C6D"/>
    <w:rPr>
      <w:i/>
      <w:iCs/>
    </w:rPr>
  </w:style>
  <w:style w:type="paragraph" w:styleId="Piedepgina">
    <w:name w:val="footer"/>
    <w:basedOn w:val="Normal"/>
    <w:link w:val="PiedepginaCar"/>
    <w:uiPriority w:val="99"/>
    <w:unhideWhenUsed/>
    <w:rsid w:val="009C6F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FF8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lara</dc:creator>
  <cp:keywords/>
  <dc:description/>
  <cp:lastModifiedBy>Home</cp:lastModifiedBy>
  <cp:revision>2</cp:revision>
  <dcterms:created xsi:type="dcterms:W3CDTF">2020-04-20T15:50:00Z</dcterms:created>
  <dcterms:modified xsi:type="dcterms:W3CDTF">2020-04-20T15:50:00Z</dcterms:modified>
</cp:coreProperties>
</file>